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0BD4" w14:textId="77777777" w:rsidR="006E6A37" w:rsidRPr="001824F2" w:rsidRDefault="006E6A37" w:rsidP="007C0526">
      <w:pPr>
        <w:pStyle w:val="Nessunaspaziatura"/>
      </w:pPr>
    </w:p>
    <w:p w14:paraId="138B9A4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6DA9B270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FEB1DB4" w14:textId="77777777" w:rsidR="0026048E" w:rsidRPr="00E8249C" w:rsidRDefault="0026048E" w:rsidP="0026048E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0C6C5F3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C692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348DC9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3E7DCB22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AE6AB6B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E4B206D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327FFD8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08EB9E4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0E7E310E" w14:textId="6DF08458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26048E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provvisorio/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2C95A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B7681B6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C692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4C5AEC9F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73470DE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1DADE13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486482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E8BFF46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BCD1637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5DA2A7F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7D9D474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5C3E295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6D830BE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ED2AEDA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8AEC7C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39F44AA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019EBBA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74FA5C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B599AE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0D56BDF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69824AD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5C3D272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46D31D6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C1DB116" w14:textId="77777777" w:rsidR="00D86F12" w:rsidRDefault="0086491C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A1F8ABB" w14:textId="77777777" w:rsidR="00D86F12" w:rsidRDefault="0086491C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71A1DCC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FF5EA4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82AB25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69078A31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AF6C4B" w:rsidRPr="005E5E19" w14:paraId="3121A30E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CA9D441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 xml:space="preserve">Codice CCI </w:t>
            </w:r>
          </w:p>
        </w:tc>
        <w:tc>
          <w:tcPr>
            <w:tcW w:w="5103" w:type="dxa"/>
            <w:vAlign w:val="center"/>
          </w:tcPr>
          <w:p w14:paraId="4A40C06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2014IT05M9OP001</w:t>
            </w:r>
          </w:p>
        </w:tc>
      </w:tr>
      <w:tr w:rsidR="00AF6C4B" w:rsidRPr="005E5E19" w14:paraId="09DDA565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72792B0C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Programma Operativo</w:t>
            </w:r>
          </w:p>
        </w:tc>
        <w:tc>
          <w:tcPr>
            <w:tcW w:w="5103" w:type="dxa"/>
            <w:vAlign w:val="center"/>
          </w:tcPr>
          <w:p w14:paraId="2D7558D5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Programma Operativo Nazionale</w:t>
            </w:r>
          </w:p>
        </w:tc>
      </w:tr>
      <w:tr w:rsidR="00AF6C4B" w:rsidRPr="005E5E19" w14:paraId="3FB20D3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71EC825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Titolo del Programma</w:t>
            </w:r>
          </w:p>
        </w:tc>
        <w:tc>
          <w:tcPr>
            <w:tcW w:w="5103" w:type="dxa"/>
            <w:vAlign w:val="center"/>
          </w:tcPr>
          <w:p w14:paraId="12F0EC9D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  <w:color w:val="262626" w:themeColor="text1" w:themeTint="D9"/>
              </w:rPr>
              <w:t>PON Iniziativa Occupazione Giovani</w:t>
            </w:r>
          </w:p>
        </w:tc>
      </w:tr>
      <w:tr w:rsidR="00AF6C4B" w:rsidRPr="005E5E19" w14:paraId="56895199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2CB1CA1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Fondi</w:t>
            </w:r>
          </w:p>
        </w:tc>
        <w:tc>
          <w:tcPr>
            <w:tcW w:w="5103" w:type="dxa"/>
            <w:vAlign w:val="center"/>
          </w:tcPr>
          <w:p w14:paraId="3BA2259A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Fondo Sociale Europeo</w:t>
            </w:r>
          </w:p>
        </w:tc>
      </w:tr>
      <w:tr w:rsidR="00AF6C4B" w:rsidRPr="005E5E19" w14:paraId="201CF9EB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D0C2D73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 xml:space="preserve">Data dell’audit </w:t>
            </w:r>
          </w:p>
        </w:tc>
        <w:tc>
          <w:tcPr>
            <w:tcW w:w="5103" w:type="dxa"/>
            <w:vAlign w:val="center"/>
          </w:tcPr>
          <w:p w14:paraId="073890F0" w14:textId="14AD819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 xml:space="preserve">Xx xx  </w:t>
            </w:r>
            <w:r w:rsidRPr="005E5E19">
              <w:rPr>
                <w:rFonts w:cs="ArialMT-OneByteIdentityH"/>
              </w:rPr>
              <w:t>202</w:t>
            </w:r>
            <w:r>
              <w:rPr>
                <w:rFonts w:cs="ArialMT-OneByteIdentityH"/>
              </w:rPr>
              <w:t>3</w:t>
            </w:r>
          </w:p>
        </w:tc>
      </w:tr>
      <w:tr w:rsidR="00AF6C4B" w:rsidRPr="005E5E19" w14:paraId="15D7FF11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2AC5EBA" w14:textId="77777777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207363">
              <w:rPr>
                <w:rFonts w:cs="ArialMT-OneByteIdentityH"/>
                <w:b/>
              </w:rPr>
              <w:t>Auditors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BB5CEE5" w14:textId="4643EDDF" w:rsidR="00AF6C4B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</w:t>
            </w:r>
          </w:p>
          <w:p w14:paraId="232E566D" w14:textId="7D70A538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</w:t>
            </w:r>
          </w:p>
          <w:p w14:paraId="58CEEFF2" w14:textId="4D526792" w:rsidR="00AF6C4B" w:rsidRPr="00207363" w:rsidRDefault="00AF6C4B" w:rsidP="002365E4">
            <w:pPr>
              <w:autoSpaceDE w:val="0"/>
              <w:autoSpaceDN w:val="0"/>
              <w:adjustRightInd w:val="0"/>
              <w:rPr>
                <w:rFonts w:cs="ArialMT-OneByteIdentityH"/>
              </w:rPr>
            </w:pPr>
            <w:r w:rsidRPr="00207363">
              <w:rPr>
                <w:rFonts w:cs="ArialMT-OneByteIdentityH"/>
              </w:rPr>
              <w:t>M</w:t>
            </w:r>
            <w:r w:rsidR="00E55453">
              <w:rPr>
                <w:rFonts w:cs="ArialMT-OneByteIdentityH"/>
              </w:rPr>
              <w:t xml:space="preserve">inistero del lavoro e delle Politiche Sociali </w:t>
            </w:r>
            <w:r w:rsidR="002365E4">
              <w:rPr>
                <w:rFonts w:cs="ArialMT-OneByteIdentityH"/>
              </w:rPr>
              <w:t>-</w:t>
            </w:r>
            <w:r w:rsidR="002365E4" w:rsidRPr="006B545A">
              <w:rPr>
                <w:rFonts w:cstheme="minorHAnsi"/>
              </w:rPr>
              <w:t>Dipartimento</w:t>
            </w:r>
            <w:r w:rsidR="002365E4">
              <w:rPr>
                <w:rFonts w:cstheme="minorHAnsi"/>
              </w:rPr>
              <w:t xml:space="preserve"> </w:t>
            </w:r>
            <w:r w:rsidR="002365E4" w:rsidRPr="006B545A">
              <w:rPr>
                <w:rFonts w:cstheme="minorHAnsi"/>
              </w:rPr>
              <w:t xml:space="preserve">per l'innovazione, l'amministrazione generale, il personale e i servizi - </w:t>
            </w:r>
            <w:r w:rsidRPr="00207363">
              <w:rPr>
                <w:rFonts w:cs="ArialMT-OneByteIdentityH"/>
              </w:rPr>
              <w:t>Autorità di Audit</w:t>
            </w:r>
          </w:p>
        </w:tc>
      </w:tr>
      <w:tr w:rsidR="00AF6C4B" w:rsidRPr="005E5E19" w14:paraId="7646B897" w14:textId="77777777" w:rsidTr="009525B9">
        <w:trPr>
          <w:trHeight w:val="676"/>
        </w:trPr>
        <w:tc>
          <w:tcPr>
            <w:tcW w:w="4531" w:type="dxa"/>
            <w:vAlign w:val="center"/>
          </w:tcPr>
          <w:p w14:paraId="1A60F516" w14:textId="77777777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207363">
              <w:rPr>
                <w:rFonts w:cs="ArialMT-OneByteIdentityH"/>
                <w:b/>
              </w:rPr>
              <w:t>Personale di supporto di Assistenza Tecnica</w:t>
            </w:r>
          </w:p>
        </w:tc>
        <w:tc>
          <w:tcPr>
            <w:tcW w:w="5103" w:type="dxa"/>
            <w:vAlign w:val="center"/>
          </w:tcPr>
          <w:p w14:paraId="5A1E32BE" w14:textId="2E90940B" w:rsidR="00AF6C4B" w:rsidRDefault="00AF6C4B" w:rsidP="009525B9">
            <w:pPr>
              <w:autoSpaceDE w:val="0"/>
              <w:autoSpaceDN w:val="0"/>
              <w:adjustRightInd w:val="0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</w:t>
            </w:r>
          </w:p>
          <w:p w14:paraId="3CBD16CF" w14:textId="4B6D0472" w:rsidR="00AF6C4B" w:rsidRPr="00705D72" w:rsidRDefault="00AF6C4B" w:rsidP="009525B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  <w:color w:val="262626"/>
              </w:rPr>
              <w:t>xx</w:t>
            </w:r>
          </w:p>
          <w:p w14:paraId="538D7ECF" w14:textId="0D269844" w:rsidR="00AF6C4B" w:rsidRPr="00207363" w:rsidRDefault="00AF6C4B" w:rsidP="009525B9">
            <w:pPr>
              <w:autoSpaceDE w:val="0"/>
              <w:autoSpaceDN w:val="0"/>
              <w:adjustRightInd w:val="0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</w:t>
            </w:r>
            <w:r w:rsidRPr="00207363">
              <w:rPr>
                <w:rFonts w:cs="Calibri"/>
                <w:color w:val="262626"/>
              </w:rPr>
              <w:t xml:space="preserve"> S.p.A.</w:t>
            </w:r>
          </w:p>
        </w:tc>
      </w:tr>
      <w:tr w:rsidR="00AF6C4B" w:rsidRPr="005E5E19" w14:paraId="328CE99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224808E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Organismo controllato</w:t>
            </w:r>
          </w:p>
        </w:tc>
        <w:tc>
          <w:tcPr>
            <w:tcW w:w="5103" w:type="dxa"/>
            <w:vAlign w:val="center"/>
          </w:tcPr>
          <w:p w14:paraId="1D64794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Autorità di Certificazione</w:t>
            </w:r>
          </w:p>
        </w:tc>
      </w:tr>
      <w:tr w:rsidR="00AF6C4B" w:rsidRPr="005E5E19" w14:paraId="490B5D10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2EA0F0F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Struttura di riferimento</w:t>
            </w:r>
          </w:p>
        </w:tc>
        <w:tc>
          <w:tcPr>
            <w:tcW w:w="5103" w:type="dxa"/>
            <w:vAlign w:val="center"/>
          </w:tcPr>
          <w:p w14:paraId="40FBAE0C" w14:textId="77777777" w:rsidR="002365E4" w:rsidRDefault="002365E4" w:rsidP="002365E4">
            <w:pPr>
              <w:tabs>
                <w:tab w:val="left" w:pos="1320"/>
              </w:tabs>
              <w:jc w:val="both"/>
              <w:rPr>
                <w:rFonts w:cstheme="minorHAnsi"/>
              </w:rPr>
            </w:pPr>
            <w:r w:rsidRPr="002365E4">
              <w:rPr>
                <w:rFonts w:cstheme="minorHAnsi"/>
              </w:rPr>
              <w:t>Ministero del Lavoro e delle Politiche Sociali</w:t>
            </w:r>
            <w:r>
              <w:rPr>
                <w:rFonts w:cstheme="minorHAnsi"/>
              </w:rPr>
              <w:t xml:space="preserve"> </w:t>
            </w:r>
          </w:p>
          <w:p w14:paraId="5F646374" w14:textId="1250CBF1" w:rsidR="002365E4" w:rsidRPr="002365E4" w:rsidRDefault="002365E4" w:rsidP="002365E4">
            <w:pPr>
              <w:tabs>
                <w:tab w:val="left" w:pos="1320"/>
              </w:tabs>
              <w:jc w:val="both"/>
              <w:rPr>
                <w:rFonts w:cstheme="minorHAnsi"/>
              </w:rPr>
            </w:pPr>
            <w:r w:rsidRPr="002365E4">
              <w:rPr>
                <w:rFonts w:cstheme="minorHAnsi"/>
              </w:rPr>
              <w:t>DG delle politiche attive del lavoro</w:t>
            </w:r>
          </w:p>
          <w:p w14:paraId="48509E0C" w14:textId="51F07E02" w:rsidR="00AF6C4B" w:rsidRPr="002365E4" w:rsidRDefault="002365E4" w:rsidP="002365E4">
            <w:pPr>
              <w:tabs>
                <w:tab w:val="left" w:pos="1320"/>
              </w:tabs>
              <w:jc w:val="both"/>
              <w:rPr>
                <w:rFonts w:cstheme="minorHAnsi"/>
              </w:rPr>
            </w:pPr>
            <w:r w:rsidRPr="002365E4">
              <w:rPr>
                <w:rFonts w:cstheme="minorHAnsi"/>
              </w:rPr>
              <w:t>Divisione II</w:t>
            </w:r>
          </w:p>
          <w:p w14:paraId="57CC05E7" w14:textId="6D1B8A2F" w:rsidR="00AF6C4B" w:rsidRPr="002365E4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AF6C4B" w:rsidRPr="005E5E19" w14:paraId="21EC1E5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53FE091A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Nominativo referente</w:t>
            </w:r>
          </w:p>
        </w:tc>
        <w:tc>
          <w:tcPr>
            <w:tcW w:w="5103" w:type="dxa"/>
            <w:vAlign w:val="center"/>
          </w:tcPr>
          <w:p w14:paraId="53AFFF90" w14:textId="01455CCE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D</w:t>
            </w:r>
            <w:r>
              <w:rPr>
                <w:rFonts w:cs="ArialMT-OneByteIdentityH"/>
              </w:rPr>
              <w:t xml:space="preserve">ott. </w:t>
            </w:r>
            <w:r w:rsidR="002365E4">
              <w:rPr>
                <w:rFonts w:cs="ArialMT-OneByteIdentityH"/>
              </w:rPr>
              <w:t xml:space="preserve">Daniele Lunetta </w:t>
            </w:r>
          </w:p>
        </w:tc>
      </w:tr>
    </w:tbl>
    <w:p w14:paraId="778936C9" w14:textId="77777777" w:rsidR="00D91618" w:rsidRPr="00D91618" w:rsidRDefault="00D91618" w:rsidP="00D91618"/>
    <w:p w14:paraId="6607BD12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51ED45B6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16983FB8" w14:textId="57934C3C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</w:t>
      </w:r>
      <w:r w:rsidR="0012606F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dell’audit di sistema relativo all’Autorità di 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Certificazione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(prosieguo Ad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C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).</w:t>
      </w:r>
    </w:p>
    <w:p w14:paraId="69D13F32" w14:textId="3DD1C35B" w:rsidR="006953A4" w:rsidRPr="0086491C" w:rsidRDefault="006953A4" w:rsidP="0086491C">
      <w:pPr>
        <w:tabs>
          <w:tab w:val="left" w:pos="1320"/>
        </w:tabs>
        <w:jc w:val="both"/>
        <w:rPr>
          <w:rFonts w:cstheme="minorHAnsi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</w:t>
      </w:r>
      <w:r w:rsidR="00AF6C4B" w:rsidRPr="002365E4">
        <w:rPr>
          <w:rFonts w:cs="ArialMT-OneByteIdentityH"/>
          <w:sz w:val="24"/>
          <w:szCs w:val="24"/>
        </w:rPr>
        <w:t xml:space="preserve">presso </w:t>
      </w:r>
      <w:r w:rsidR="002365E4" w:rsidRPr="002365E4">
        <w:rPr>
          <w:rFonts w:cs="ArialMT-OneByteIdentityH"/>
          <w:sz w:val="24"/>
          <w:szCs w:val="24"/>
        </w:rPr>
        <w:t>gli Uffici del</w:t>
      </w:r>
      <w:r w:rsidR="0086491C">
        <w:rPr>
          <w:rFonts w:cs="ArialMT-OneByteIdentityH"/>
          <w:sz w:val="24"/>
          <w:szCs w:val="24"/>
        </w:rPr>
        <w:t xml:space="preserve">la </w:t>
      </w:r>
      <w:r w:rsidR="0086491C" w:rsidRPr="002365E4">
        <w:rPr>
          <w:rFonts w:cstheme="minorHAnsi"/>
        </w:rPr>
        <w:t>DG delle politiche attive del lavor</w:t>
      </w:r>
      <w:r w:rsidR="0086491C">
        <w:rPr>
          <w:rFonts w:cstheme="minorHAnsi"/>
        </w:rPr>
        <w:t xml:space="preserve">o </w:t>
      </w:r>
      <w:r w:rsidR="0086491C" w:rsidRPr="002365E4">
        <w:rPr>
          <w:rFonts w:cstheme="minorHAnsi"/>
        </w:rPr>
        <w:t>Divisione II</w:t>
      </w:r>
      <w:r w:rsidR="0086491C">
        <w:rPr>
          <w:rFonts w:cstheme="minorHAnsi"/>
        </w:rPr>
        <w:t xml:space="preserve"> </w:t>
      </w:r>
      <w:r w:rsidRPr="006953A4">
        <w:rPr>
          <w:rFonts w:cs="ArialMT-OneByteIdentityH"/>
          <w:sz w:val="24"/>
          <w:szCs w:val="24"/>
        </w:rPr>
        <w:t xml:space="preserve">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</w:t>
      </w:r>
      <w:r w:rsidRPr="00AF6C4B">
        <w:rPr>
          <w:rFonts w:cs="ArialMT-OneByteIdentityH"/>
          <w:sz w:val="24"/>
          <w:szCs w:val="24"/>
        </w:rPr>
        <w:t xml:space="preserve">Funzionario </w:t>
      </w:r>
      <w:r w:rsidR="00AF6C4B" w:rsidRPr="00AF6C4B">
        <w:rPr>
          <w:rFonts w:cs="ArialMT-OneByteIdentityH"/>
          <w:sz w:val="24"/>
          <w:szCs w:val="24"/>
        </w:rPr>
        <w:t xml:space="preserve">del Ministero del lavoro e delle politiche sociali </w:t>
      </w:r>
      <w:r w:rsidR="00D37768">
        <w:rPr>
          <w:rFonts w:cs="ArialMT-OneByteIdentityH"/>
          <w:sz w:val="24"/>
          <w:szCs w:val="24"/>
        </w:rPr>
        <w:t>-</w:t>
      </w:r>
      <w:r w:rsidR="00D37768">
        <w:rPr>
          <w:rFonts w:cstheme="minorHAnsi"/>
        </w:rPr>
        <w:t xml:space="preserve"> </w:t>
      </w:r>
      <w:r w:rsidR="00D37768" w:rsidRPr="00D37768">
        <w:rPr>
          <w:rFonts w:cs="ArialMT-OneByteIdentityH"/>
          <w:sz w:val="24"/>
          <w:szCs w:val="24"/>
        </w:rPr>
        <w:t xml:space="preserve">Dipartimento per l'innovazione, l'amministrazione generale, il personale e i servizi </w:t>
      </w:r>
      <w:r w:rsidR="00AF6C4B" w:rsidRPr="00AF6C4B">
        <w:rPr>
          <w:rFonts w:cs="ArialMT-OneByteIdentityH"/>
          <w:sz w:val="24"/>
          <w:szCs w:val="24"/>
        </w:rPr>
        <w:t>– Autorità di Audit</w:t>
      </w:r>
      <w:r w:rsidRPr="00AF6C4B">
        <w:rPr>
          <w:rFonts w:cs="ArialMT-OneByteIdentityH"/>
          <w:sz w:val="24"/>
          <w:szCs w:val="24"/>
        </w:rPr>
        <w:t>,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e dall’AT all’Autorità di Audit del PON </w:t>
      </w:r>
      <w:r w:rsidR="00D176D8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xxx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S.p.A.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nelle persone di ……………………….</w:t>
      </w:r>
    </w:p>
    <w:p w14:paraId="1B725AB3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D176D8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92C9568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0D0E5055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261ABE3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E6CB064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6AB7BEA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7D2443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B008691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E375E2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7790E77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34DDC2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D044327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3A2B5D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D0B9D5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19FCA9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F49F2FC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CB065C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63E4E2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9586F98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2FB70D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247991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2FEA51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0BDCB5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2FDB5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4E1079A9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69183078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600850E5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145136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387C4D4C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D176D8">
        <w:rPr>
          <w:rFonts w:cstheme="minorHAnsi"/>
          <w:sz w:val="24"/>
          <w:szCs w:val="24"/>
        </w:rPr>
        <w:t>Iniziativa Occupazione Giovani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13AE3DC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1E855EC7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7D91BD7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B1DD7B7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2E979E6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71F62E0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0C512C66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2120F4C9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512CAC1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85B918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EB691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269445C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9D3DD4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FDCD9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49B27F50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146C26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9CF01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9D65C3E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CAF04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71F52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6AAB7FE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F9D7B2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8A960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056EBE7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31A4EA17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B540C9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A831CFD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D176D8">
        <w:rPr>
          <w:rFonts w:cs="ArialMT-OneByteIdentityH"/>
          <w:sz w:val="24"/>
          <w:szCs w:val="24"/>
        </w:rPr>
        <w:t>Iniziativa Occupazione Giovani</w:t>
      </w:r>
      <w:r w:rsidR="00522E01">
        <w:rPr>
          <w:rFonts w:cs="ArialMT-OneByteIdentityH"/>
          <w:sz w:val="24"/>
          <w:szCs w:val="24"/>
        </w:rPr>
        <w:t xml:space="preserve">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2FBD1B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11A8BE49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6FA67C7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98AC7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91D600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56EB8046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F6C18B5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0FCA24E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70E9D484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3A4D386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538A3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1D009A4E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8AADCF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43AC0B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6B722BAA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2C6A0B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1ECFB51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601FF6A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7A5FE70A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B03349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3AC770C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C2F691D" w14:textId="74F1E033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912F71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51E04863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2445E96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9184D1E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245347ED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9FB0246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93139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E6371BB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80EDFA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DA7303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1F23F7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579B7FC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69940CC6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BAEAA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0CA24D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5F47A9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F10B485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EEA4A3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2D785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46E9E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2C0F9B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037CE6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07F5E365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7F213FF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39A0530E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69F1607" w14:textId="347E6F1E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26048E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01CF17F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61695EA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609AB0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1B14F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D016A4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A571882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A5410A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61010A4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715B36F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5358CEA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10FD324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C7F154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125F2653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674DEB1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33416A6A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F9C24CB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543C7A1A" w14:textId="02191BFF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="00912F71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2F25291D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3FA70611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05A08D6D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B5E3A81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8F751A2" w14:textId="615E4346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912F71">
        <w:rPr>
          <w:sz w:val="24"/>
        </w:rPr>
        <w:t>U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7303ADE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6F33995C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298F56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7B02FF52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09D3BE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D0CE9AE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336D80E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F68C0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2F66191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7ADE7F6B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44CB1ED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F69DD9D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5B67B7E2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5064FDD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4E32A74D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84922E5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8CC709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60798E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C80F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B536D4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A93E0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613F43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68D5319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6B9D3DA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3201300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29B801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DB12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0D1BAA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28F3375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14:paraId="159F032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10490DB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DA00CCE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6018272E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9A4029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403ACB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C052D1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D9E971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816B3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9E00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1EB1A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368755D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696B4E71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54AD473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6915CED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1A6AB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51FD832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059CDF5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E3199B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E41F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D9D7AD0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4D7D60F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5DFECB9C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12D609A0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83BEC75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DEB1A38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F59CEC0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635D980E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189F381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2F38810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5F3FC621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25BA06B7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6CA05DEA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1CB2234" w14:textId="77777777" w:rsidTr="00D56EFD">
        <w:tc>
          <w:tcPr>
            <w:tcW w:w="4394" w:type="dxa"/>
            <w:shd w:val="clear" w:color="auto" w:fill="auto"/>
            <w:vAlign w:val="center"/>
          </w:tcPr>
          <w:p w14:paraId="2CA0BE06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A6C47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2F165108" w14:textId="77777777" w:rsidTr="00D56EFD">
        <w:tc>
          <w:tcPr>
            <w:tcW w:w="4394" w:type="dxa"/>
            <w:shd w:val="clear" w:color="auto" w:fill="auto"/>
            <w:vAlign w:val="center"/>
          </w:tcPr>
          <w:p w14:paraId="18EC0819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FF6D71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6F0C76F" w14:textId="77777777" w:rsidTr="00D56EFD">
        <w:tc>
          <w:tcPr>
            <w:tcW w:w="4394" w:type="dxa"/>
            <w:shd w:val="clear" w:color="auto" w:fill="auto"/>
            <w:vAlign w:val="center"/>
          </w:tcPr>
          <w:p w14:paraId="062F769A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E5AB7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2C2F4C2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E1FABD0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0F37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5C8CA09" w14:textId="77777777" w:rsidTr="00D56EFD">
        <w:tc>
          <w:tcPr>
            <w:tcW w:w="4394" w:type="dxa"/>
            <w:shd w:val="clear" w:color="auto" w:fill="auto"/>
            <w:vAlign w:val="center"/>
          </w:tcPr>
          <w:p w14:paraId="1C34956A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54BC4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12FBA2F9" w14:textId="77777777" w:rsidR="008053C8" w:rsidRDefault="008053C8" w:rsidP="00AC627B">
      <w:pPr>
        <w:jc w:val="both"/>
        <w:rPr>
          <w:sz w:val="24"/>
          <w:szCs w:val="24"/>
        </w:rPr>
      </w:pPr>
    </w:p>
    <w:p w14:paraId="5AA7ECEB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7738D1A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59CEFAA8" w14:textId="74EC6F20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7472F1E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78B6C97C" w14:textId="41361E85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175C9E73" w14:textId="5BDC36E2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573753C1" w14:textId="77777777" w:rsidR="00AB4B80" w:rsidRDefault="00AB4B80" w:rsidP="00AB4B80"/>
    <w:bookmarkEnd w:id="26"/>
    <w:bookmarkEnd w:id="27"/>
    <w:p w14:paraId="7BA2FE01" w14:textId="77777777" w:rsidR="005F0606" w:rsidRDefault="005F0606" w:rsidP="005F0606">
      <w:pPr>
        <w:spacing w:after="0" w:line="240" w:lineRule="auto"/>
        <w:ind w:left="5749" w:firstLine="11"/>
        <w:jc w:val="center"/>
      </w:pPr>
      <w:r>
        <w:t>L’Autorità di Audit</w:t>
      </w:r>
    </w:p>
    <w:p w14:paraId="5BC3C064" w14:textId="32D39FB7" w:rsidR="009B2262" w:rsidRDefault="009B2262" w:rsidP="005F0606">
      <w:pPr>
        <w:rPr>
          <w:sz w:val="24"/>
          <w:szCs w:val="24"/>
        </w:rPr>
      </w:pPr>
    </w:p>
    <w:p w14:paraId="1D9D3112" w14:textId="77777777" w:rsidR="00C04F45" w:rsidRDefault="00C04F45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</w:p>
    <w:p w14:paraId="16844511" w14:textId="77777777" w:rsidR="00C04F45" w:rsidRDefault="00C04F45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</w:p>
    <w:p w14:paraId="03A0FF29" w14:textId="77777777" w:rsidR="00C04F45" w:rsidRDefault="00C04F45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</w:p>
    <w:p w14:paraId="35C56521" w14:textId="77777777" w:rsidR="00C04F45" w:rsidRDefault="00C04F45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</w:p>
    <w:p w14:paraId="43E5A427" w14:textId="5269894E" w:rsidR="00F4714C" w:rsidRPr="00F4714C" w:rsidRDefault="00F4714C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  <w:r w:rsidRPr="00F4714C">
        <w:rPr>
          <w:rFonts w:ascii="Calibri" w:eastAsia="Calibri" w:hAnsi="Calibri" w:cs="Calibri"/>
          <w:i/>
          <w:sz w:val="16"/>
          <w:szCs w:val="16"/>
        </w:rPr>
        <w:t>Documento firmato digitalmente secondo le indicazioni sulla dematerializzazione ai sensi e per gli effetti dell’art. 20 comma 2 del D.lgs. 7 marzo 2005 n. 82 “Codice dell’Amministrazione Digitale”.</w:t>
      </w:r>
    </w:p>
    <w:p w14:paraId="3580832B" w14:textId="77777777" w:rsidR="00F4714C" w:rsidRPr="008053C8" w:rsidRDefault="00F4714C" w:rsidP="005F0606">
      <w:pPr>
        <w:rPr>
          <w:sz w:val="24"/>
          <w:szCs w:val="24"/>
        </w:rPr>
      </w:pPr>
    </w:p>
    <w:sectPr w:rsidR="00F4714C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656E" w14:textId="77777777" w:rsidR="00267BDF" w:rsidRDefault="00267BDF" w:rsidP="000D5AE0">
      <w:pPr>
        <w:spacing w:after="0" w:line="240" w:lineRule="auto"/>
      </w:pPr>
      <w:r>
        <w:separator/>
      </w:r>
    </w:p>
  </w:endnote>
  <w:endnote w:type="continuationSeparator" w:id="0">
    <w:p w14:paraId="7E24C157" w14:textId="77777777" w:rsidR="00267BDF" w:rsidRDefault="00267BDF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B048" w14:textId="653DCB7A" w:rsidR="00806F5F" w:rsidRDefault="00AF6C4B">
    <w:pPr>
      <w:pStyle w:val="Pidipagina"/>
    </w:pPr>
    <w:r>
      <w:rPr>
        <w:rFonts w:ascii="Calibri" w:eastAsia="Calibri" w:hAnsi="Calibri" w:cs="Tahoma"/>
        <w:bCs/>
        <w:snapToGrid w:val="0"/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Pr="00AF6C4B">
      <w:rPr>
        <w:rFonts w:ascii="Calibri" w:eastAsia="Calibri" w:hAnsi="Calibri" w:cs="Tahoma"/>
        <w:bCs/>
        <w:snapToGrid w:val="0"/>
        <w:color w:val="000000"/>
        <w:sz w:val="16"/>
        <w:szCs w:val="16"/>
      </w:rPr>
      <w:t>Rapporto provvisorio/definitivo Audit di Sistema AdC – PON IOG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F8CDF" w14:textId="77777777" w:rsidR="00267BDF" w:rsidRDefault="00267BDF" w:rsidP="000D5AE0">
      <w:pPr>
        <w:spacing w:after="0" w:line="240" w:lineRule="auto"/>
      </w:pPr>
      <w:r>
        <w:separator/>
      </w:r>
    </w:p>
  </w:footnote>
  <w:footnote w:type="continuationSeparator" w:id="0">
    <w:p w14:paraId="08C2264C" w14:textId="77777777" w:rsidR="00267BDF" w:rsidRDefault="00267BDF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E3E4103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2AF69228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0773FB3" wp14:editId="09D3A5AD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5051D3FC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178783B0" wp14:editId="44D3C65D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510174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8613" w14:textId="77777777" w:rsidR="00806F5F" w:rsidRDefault="00BC6928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7013B4D" wp14:editId="154CE1E0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F3A3" w14:textId="77777777" w:rsidR="00806F5F" w:rsidRDefault="00E0102D">
    <w:pPr>
      <w:pStyle w:val="Intestazione"/>
    </w:pPr>
    <w:r>
      <w:rPr>
        <w:noProof/>
        <w:lang w:eastAsia="it-IT"/>
      </w:rPr>
      <w:drawing>
        <wp:inline distT="0" distB="0" distL="0" distR="0" wp14:anchorId="41820D3D" wp14:editId="3542C636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764976">
    <w:abstractNumId w:val="3"/>
  </w:num>
  <w:num w:numId="2" w16cid:durableId="1218512246">
    <w:abstractNumId w:val="4"/>
  </w:num>
  <w:num w:numId="3" w16cid:durableId="114717688">
    <w:abstractNumId w:val="7"/>
  </w:num>
  <w:num w:numId="4" w16cid:durableId="1824618029">
    <w:abstractNumId w:val="5"/>
  </w:num>
  <w:num w:numId="5" w16cid:durableId="720899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7713811">
    <w:abstractNumId w:val="12"/>
  </w:num>
  <w:num w:numId="7" w16cid:durableId="1462650151">
    <w:abstractNumId w:val="1"/>
  </w:num>
  <w:num w:numId="8" w16cid:durableId="1542400375">
    <w:abstractNumId w:val="2"/>
  </w:num>
  <w:num w:numId="9" w16cid:durableId="394203607">
    <w:abstractNumId w:val="0"/>
  </w:num>
  <w:num w:numId="10" w16cid:durableId="681981342">
    <w:abstractNumId w:val="8"/>
  </w:num>
  <w:num w:numId="11" w16cid:durableId="290793227">
    <w:abstractNumId w:val="11"/>
  </w:num>
  <w:num w:numId="12" w16cid:durableId="1799685384">
    <w:abstractNumId w:val="6"/>
  </w:num>
  <w:num w:numId="13" w16cid:durableId="1136992427">
    <w:abstractNumId w:val="10"/>
  </w:num>
  <w:num w:numId="14" w16cid:durableId="87581447">
    <w:abstractNumId w:val="14"/>
  </w:num>
  <w:num w:numId="15" w16cid:durableId="30309745">
    <w:abstractNumId w:val="9"/>
  </w:num>
  <w:num w:numId="16" w16cid:durableId="123269707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1AF2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606F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5E4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048E"/>
    <w:rsid w:val="00262AA0"/>
    <w:rsid w:val="00264F2C"/>
    <w:rsid w:val="0026583C"/>
    <w:rsid w:val="00265EFD"/>
    <w:rsid w:val="00267389"/>
    <w:rsid w:val="00267BDF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5FC6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606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491C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2F71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262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6C4B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6928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4F45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176D8"/>
    <w:rsid w:val="00D24E2A"/>
    <w:rsid w:val="00D24E81"/>
    <w:rsid w:val="00D25FBF"/>
    <w:rsid w:val="00D30F4A"/>
    <w:rsid w:val="00D34442"/>
    <w:rsid w:val="00D36E42"/>
    <w:rsid w:val="00D37768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102D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5453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4714C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2733AD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F94A2-58FE-4BC2-9551-2827B2C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2597</Words>
  <Characters>14808</Characters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2019-09-24T14:02:00Z</cp:lastPrinted>
  <dcterms:created xsi:type="dcterms:W3CDTF">2020-04-07T08:56:00Z</dcterms:created>
  <dcterms:modified xsi:type="dcterms:W3CDTF">2024-10-17T07:06:00Z</dcterms:modified>
</cp:coreProperties>
</file>